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5" w:rsidRPr="00773C1D" w:rsidRDefault="003B29D5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30"/>
          <w:szCs w:val="30"/>
        </w:rPr>
      </w:pPr>
      <w:r w:rsidRPr="00773C1D">
        <w:rPr>
          <w:rFonts w:ascii="华文中宋" w:eastAsia="华文中宋" w:hAnsi="华文中宋" w:hint="eastAsia"/>
          <w:b/>
          <w:sz w:val="30"/>
          <w:szCs w:val="30"/>
        </w:rPr>
        <w:t>中国新闻奖媒体融合奖项参评作品推荐表</w:t>
      </w:r>
      <w:bookmarkStart w:id="0" w:name="附件3"/>
      <w:bookmarkEnd w:id="0"/>
    </w:p>
    <w:p w:rsidR="003B29D5" w:rsidRPr="00773C1D" w:rsidRDefault="003B29D5" w:rsidP="00721C2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Cs w:val="21"/>
        </w:rPr>
      </w:pPr>
      <w:r w:rsidRPr="00773C1D">
        <w:rPr>
          <w:rFonts w:ascii="华文中宋" w:eastAsia="华文中宋" w:hAnsi="华文中宋" w:hint="eastAsia"/>
          <w:b/>
          <w:szCs w:val="21"/>
        </w:rPr>
        <w:t>（短视频新闻、移动直播、新媒体创意互动、新媒体报道界面、融合创新）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6"/>
        <w:gridCol w:w="1558"/>
        <w:gridCol w:w="992"/>
        <w:gridCol w:w="471"/>
        <w:gridCol w:w="1415"/>
        <w:gridCol w:w="806"/>
        <w:gridCol w:w="851"/>
        <w:gridCol w:w="1446"/>
      </w:tblGrid>
      <w:tr w:rsidR="003B29D5" w:rsidTr="009C03ED">
        <w:trPr>
          <w:cantSplit/>
          <w:trHeight w:hRule="exact" w:val="790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D5" w:rsidRDefault="00386A14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386A14">
              <w:rPr>
                <w:rFonts w:ascii="仿宋" w:eastAsia="仿宋" w:hAnsi="仿宋" w:cs="Songti SC" w:hint="eastAsia"/>
                <w:color w:val="000000"/>
                <w:kern w:val="0"/>
                <w:szCs w:val="21"/>
              </w:rPr>
              <w:t>一夜无眠，原来这才是真正的魔都结界！赞</w:t>
            </w:r>
            <w:r w:rsidRPr="00386A14">
              <w:rPr>
                <w:rFonts w:ascii="仿宋" w:eastAsia="仿宋" w:hAnsi="仿宋" w:cs="Times"/>
                <w:color w:val="000000"/>
                <w:kern w:val="0"/>
                <w:szCs w:val="21"/>
              </w:rPr>
              <w:t>@</w:t>
            </w:r>
            <w:r w:rsidRPr="00386A14">
              <w:rPr>
                <w:rFonts w:ascii="仿宋" w:eastAsia="仿宋" w:hAnsi="仿宋" w:cs="Songti SC" w:hint="eastAsia"/>
                <w:color w:val="000000"/>
                <w:kern w:val="0"/>
                <w:szCs w:val="21"/>
              </w:rPr>
              <w:t>上海的守夜人们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D5" w:rsidRDefault="00386A14">
            <w:pPr>
              <w:spacing w:line="380" w:lineRule="exac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新媒体报道界面</w:t>
            </w:r>
          </w:p>
        </w:tc>
      </w:tr>
      <w:tr w:rsidR="003B29D5" w:rsidTr="009C03ED">
        <w:trPr>
          <w:cantSplit/>
          <w:trHeight w:val="414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Pr="00773C1D" w:rsidRDefault="00386A14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李斌、顾隽</w:t>
            </w:r>
            <w:r w:rsidRPr="00773C1D">
              <w:rPr>
                <w:rFonts w:ascii="仿宋" w:eastAsia="仿宋" w:hAnsi="仿宋" w:cs="宋体-方正超大字符集" w:hint="eastAsia"/>
                <w:color w:val="000000"/>
                <w:kern w:val="0"/>
                <w:sz w:val="24"/>
                <w:szCs w:val="24"/>
              </w:rPr>
              <w:t>㛃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、汪宁、俞承璋、赵颖文、马尊伊、俞倩、王迪杰</w:t>
            </w:r>
          </w:p>
        </w:tc>
      </w:tr>
      <w:tr w:rsidR="003B29D5" w:rsidTr="009C03ED">
        <w:trPr>
          <w:cantSplit/>
          <w:trHeight w:val="414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Pr="00773C1D" w:rsidRDefault="00386A14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顾隽</w:t>
            </w:r>
            <w:r w:rsidRPr="00773C1D">
              <w:rPr>
                <w:rFonts w:ascii="仿宋" w:eastAsia="仿宋" w:hAnsi="仿宋" w:cs="宋体-方正超大字符集" w:hint="eastAsia"/>
                <w:color w:val="000000"/>
                <w:kern w:val="0"/>
                <w:sz w:val="24"/>
                <w:szCs w:val="24"/>
              </w:rPr>
              <w:t>㛃</w:t>
            </w:r>
          </w:p>
        </w:tc>
      </w:tr>
      <w:tr w:rsidR="003B29D5" w:rsidTr="009C03ED">
        <w:trPr>
          <w:cantSplit/>
          <w:trHeight w:hRule="exact" w:val="439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Pr="00386A14" w:rsidRDefault="00386A14">
            <w:pPr>
              <w:spacing w:line="3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86A14">
              <w:rPr>
                <w:rFonts w:ascii="仿宋" w:eastAsia="仿宋" w:hAnsi="仿宋" w:cs="Songti SC" w:hint="eastAsia"/>
                <w:color w:val="000000"/>
                <w:kern w:val="0"/>
              </w:rPr>
              <w:t>上海广播电视台东方广播中心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发布日期及时间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86A14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2018年7月22日7时45</w:t>
            </w:r>
            <w:r w:rsidR="003B29D5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3B29D5" w:rsidTr="009C03ED">
        <w:trPr>
          <w:cantSplit/>
          <w:trHeight w:hRule="exact" w:val="417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发布账号（APP）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Pr="00773C1D" w:rsidRDefault="00386A14">
            <w:pPr>
              <w:spacing w:line="3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3C1D"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  <w:t>“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话匣子</w:t>
            </w:r>
            <w:r w:rsidRPr="00773C1D"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  <w:t>”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微信公众号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音视频类参评作品填报</w:t>
            </w:r>
          </w:p>
        </w:tc>
      </w:tr>
      <w:tr w:rsidR="003B29D5" w:rsidTr="009C03ED">
        <w:trPr>
          <w:cantSplit/>
          <w:trHeight w:hRule="exact" w:val="5360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采编过程</w:t>
            </w:r>
          </w:p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8D" w:rsidRPr="00773C1D" w:rsidRDefault="00721C22" w:rsidP="00773C1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ind w:firstLineChars="200" w:firstLine="480"/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</w:pP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去年</w:t>
            </w:r>
            <w:r w:rsidRPr="00773C1D"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  <w:t>7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月</w:t>
            </w:r>
            <w:r w:rsidR="00AB08C1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，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台风</w:t>
            </w:r>
            <w:r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“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安比</w:t>
            </w:r>
            <w:r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”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来袭</w:t>
            </w:r>
            <w:r w:rsidR="00AB08C1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。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据登陆前夕的预报，</w:t>
            </w:r>
            <w:r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“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安比</w:t>
            </w:r>
            <w:r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”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极有可能成为近</w:t>
            </w:r>
            <w:r w:rsidR="004E2F3C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四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年来首个正面袭击上海的台风</w:t>
            </w:r>
            <w:r w:rsidR="00AB08C1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。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申城各行各业都严阵以待，全力保障城市安全运行。上海广播记者兵分多路，</w:t>
            </w:r>
            <w:r w:rsidR="00AB08C1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奔赴一线：有的赶往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台风</w:t>
            </w:r>
            <w:r w:rsidR="00AB08C1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可能的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登陆点</w:t>
            </w:r>
            <w:r w:rsidR="00AB08C1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，了解当地群众安置情况；有的跟随交警、路政等部门采访应对台风</w:t>
            </w:r>
            <w:r w:rsidR="004E2F3C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的准备工作</w:t>
            </w:r>
            <w:r w:rsidR="00AB08C1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；</w:t>
            </w:r>
            <w:r w:rsidR="004E2F3C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有的到达电力、物业部门的值班地，采访应急抢修的力量配备</w:t>
            </w:r>
            <w:r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……</w:t>
            </w:r>
            <w:r w:rsidR="004E2F3C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各路记者一夜无眠，微信编辑也通宵达旦，与前方记者密切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沟通，</w:t>
            </w:r>
            <w:r w:rsidR="004E2F3C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同时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与</w:t>
            </w:r>
            <w:r w:rsidR="004E2F3C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气象台、防汛指挥部保持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联系，收集相关信息，及时更新动态内容。这篇报道</w:t>
            </w:r>
            <w:r w:rsidR="004E2F3C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于第二天一早推送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。当上海市民醒来时听到台风越来越近，看到风雨越来越大，有些惴惴不安时，看到这篇稿件中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展现的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这么多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城市安全的守护者彻夜不眠，通宵鏖战的奋斗姿态，心里</w:t>
            </w:r>
            <w:r w:rsidR="007C1636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自然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能够安定不少。大家纷纷为这些劳动者打call，点赞</w:t>
            </w:r>
            <w:r w:rsidR="00EA5FC7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，认同他们才是真正的“魔都结界”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  <w:p w:rsidR="003B29D5" w:rsidRPr="00E03DC8" w:rsidRDefault="00721C22" w:rsidP="00EA5FC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稿</w:t>
            </w:r>
            <w:r w:rsidR="00EA5FC7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件注重视觉呈现，版式设计上抓住了互联网传播的特点。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大量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采用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现场</w:t>
            </w:r>
            <w:r w:rsidR="007C1636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照片，</w:t>
            </w:r>
            <w:r w:rsidR="00EA5FC7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配以简短的现场描述文字。从布局上来看，虽然</w:t>
            </w:r>
            <w:r w:rsidR="00EA5FC7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内容丰富，</w:t>
            </w:r>
            <w:r w:rsidR="00EA5FC7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但是通过适当留白，版面却不显拥挤，反而能形成较强的</w:t>
            </w:r>
            <w:r w:rsidR="007C1636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视觉冲击力，充分展现申城各处平凡岗位上的普通人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负重前行，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坚守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一线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的感人场景，传递了正能量，引发广泛共鸣。</w:t>
            </w:r>
          </w:p>
        </w:tc>
      </w:tr>
      <w:tr w:rsidR="003B29D5" w:rsidTr="009C03ED">
        <w:trPr>
          <w:cantSplit/>
          <w:trHeight w:hRule="exact" w:val="2273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Pr="00773C1D" w:rsidRDefault="007C1636" w:rsidP="00773C1D">
            <w:pPr>
              <w:ind w:firstLineChars="200" w:firstLine="480"/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</w:pP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该微信稿件</w:t>
            </w:r>
            <w:r w:rsidR="00721C22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引起了强烈的社会反响，当天早晨</w:t>
            </w:r>
            <w:r w:rsidR="00721C22" w:rsidRPr="00773C1D"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  <w:t>8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点前推</w:t>
            </w:r>
            <w:r w:rsidR="00721C22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送，数小时内阅读量就突破</w:t>
            </w:r>
            <w:r w:rsidR="00721C22" w:rsidRPr="00773C1D"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  <w:t>10</w:t>
            </w:r>
            <w:r w:rsidR="00721C22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万。网友评论和点赞的总量将近</w:t>
            </w:r>
            <w:r w:rsidR="00721C22" w:rsidRPr="00773C1D">
              <w:rPr>
                <w:rFonts w:ascii="仿宋" w:eastAsia="仿宋" w:hAnsi="仿宋" w:cs="Songti SC"/>
                <w:color w:val="000000"/>
                <w:kern w:val="0"/>
                <w:sz w:val="24"/>
                <w:szCs w:val="24"/>
              </w:rPr>
              <w:t>3000</w:t>
            </w:r>
            <w:r w:rsidR="00721C22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条。</w:t>
            </w:r>
            <w:r w:rsidR="00721C22"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“</w:t>
            </w:r>
            <w:r w:rsidR="00721C22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一线的兄弟姐妹们，一起坚守岗位，安全第一。</w:t>
            </w:r>
            <w:r w:rsidR="00721C22"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”“</w:t>
            </w:r>
            <w:r w:rsidR="00721C22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上海的结界是这样铸就的，致敬！</w:t>
            </w:r>
            <w:r w:rsidR="00721C22"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”</w:t>
            </w:r>
            <w:r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 xml:space="preserve"> “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听觉秒变视觉，话匣子秒变照相机，全方位记者编辑！赞！</w:t>
            </w:r>
            <w:r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”</w:t>
            </w:r>
            <w:r w:rsidR="00721C22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网友的评论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，充满了对于这些</w:t>
            </w:r>
            <w:r w:rsidR="00877E8D"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“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守夜人</w:t>
            </w:r>
            <w:r w:rsidR="00877E8D" w:rsidRPr="00773C1D">
              <w:rPr>
                <w:rFonts w:ascii="仿宋" w:eastAsia="仿宋" w:hAnsi="仿宋" w:cs="Times"/>
                <w:color w:val="000000"/>
                <w:kern w:val="0"/>
                <w:sz w:val="24"/>
                <w:szCs w:val="24"/>
              </w:rPr>
              <w:t>”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们的敬意与感激，也有很多一线工作者发来他们的亲身感受，评论区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网友们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的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密切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互动与稿件产生</w:t>
            </w:r>
            <w:r w:rsidR="00877E8D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同频共振，进一步提升了这篇新媒体稿件的传播效果。</w:t>
            </w:r>
          </w:p>
        </w:tc>
      </w:tr>
      <w:tr w:rsidR="003B29D5" w:rsidTr="009C03ED">
        <w:trPr>
          <w:cantSplit/>
          <w:trHeight w:hRule="exact" w:val="1981"/>
          <w:jc w:val="center"/>
        </w:trPr>
        <w:tc>
          <w:tcPr>
            <w:tcW w:w="2356" w:type="dxa"/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A0" w:rsidRPr="00EA5FC7" w:rsidRDefault="00E03DC8" w:rsidP="00EA5FC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这篇新媒体稿件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时效性强、切入点巧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，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素材丰富扎实。稿件充分展现</w:t>
            </w: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各行各业一线工作者在迎战台风过程中的辛勤付出，鼓舞了全市人民抗击台风的斗志和信心。稿件细节描述生动，语言富有网络传播特点</w:t>
            </w:r>
            <w:r w:rsidR="00D137A0"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，是传统广播在互联网融合传播转型过程中的一次有益尝试。</w:t>
            </w:r>
          </w:p>
          <w:p w:rsidR="003B29D5" w:rsidRDefault="003B29D5" w:rsidP="00C32486">
            <w:pPr>
              <w:spacing w:line="380" w:lineRule="exact"/>
              <w:ind w:firstLineChars="100" w:firstLine="28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签名：                          （盖单位公章）</w:t>
            </w:r>
          </w:p>
          <w:p w:rsidR="003B29D5" w:rsidRDefault="003B29D5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201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月日</w:t>
            </w:r>
          </w:p>
        </w:tc>
      </w:tr>
      <w:tr w:rsidR="003B29D5" w:rsidTr="009C03E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Pr="00773C1D" w:rsidRDefault="008F2A5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773C1D">
              <w:rPr>
                <w:rFonts w:ascii="仿宋" w:eastAsia="仿宋" w:hAnsi="仿宋" w:cs="Songti SC" w:hint="eastAsia"/>
                <w:color w:val="000000"/>
                <w:kern w:val="0"/>
                <w:sz w:val="24"/>
                <w:szCs w:val="24"/>
              </w:rPr>
              <w:t>顾隽</w:t>
            </w:r>
            <w:r w:rsidRPr="00773C1D">
              <w:rPr>
                <w:rFonts w:ascii="仿宋" w:eastAsia="仿宋" w:hAnsi="仿宋" w:cs="宋体-方正超大字符集" w:hint="eastAsia"/>
                <w:color w:val="000000"/>
                <w:kern w:val="0"/>
                <w:sz w:val="24"/>
                <w:szCs w:val="24"/>
              </w:rPr>
              <w:t>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8F2A5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aral@163.com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Pr="008F2A5B" w:rsidRDefault="008F2A5B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8F2A5B">
              <w:rPr>
                <w:rFonts w:ascii="仿宋" w:eastAsia="仿宋" w:hAnsi="仿宋"/>
                <w:szCs w:val="21"/>
              </w:rPr>
              <w:t>189309869</w:t>
            </w:r>
            <w:r>
              <w:rPr>
                <w:rFonts w:ascii="仿宋" w:eastAsia="仿宋" w:hAnsi="仿宋"/>
                <w:szCs w:val="21"/>
              </w:rPr>
              <w:t>79</w:t>
            </w:r>
          </w:p>
        </w:tc>
      </w:tr>
      <w:tr w:rsidR="003B29D5" w:rsidTr="009C03E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4"/>
          <w:jc w:val="center"/>
        </w:trPr>
        <w:tc>
          <w:tcPr>
            <w:tcW w:w="2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8F2A5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上海市长宁区虹桥路1376号9楼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3B29D5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D5" w:rsidRDefault="00773C1D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200051</w:t>
            </w:r>
          </w:p>
        </w:tc>
      </w:tr>
    </w:tbl>
    <w:p w:rsidR="009C03ED" w:rsidRDefault="009C03ED" w:rsidP="009C03ED">
      <w:r>
        <w:rPr>
          <w:rFonts w:ascii="Helvetica" w:eastAsia="PingFang SC" w:hAnsi="Helvetica" w:cs="Helvetica" w:hint="eastAsia"/>
          <w:noProof/>
          <w:kern w:val="1"/>
        </w:rPr>
        <w:lastRenderedPageBreak/>
        <w:drawing>
          <wp:inline distT="0" distB="0" distL="0" distR="0">
            <wp:extent cx="2979317" cy="386442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34" cy="386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ED" w:rsidRDefault="009C03ED" w:rsidP="009C03ED"/>
    <w:p w:rsidR="009C03ED" w:rsidRDefault="009C03ED" w:rsidP="009C03ED">
      <w:r>
        <w:rPr>
          <w:rFonts w:hint="eastAsia"/>
        </w:rPr>
        <w:t>作品地址：</w:t>
      </w:r>
    </w:p>
    <w:p w:rsidR="009C03ED" w:rsidRPr="00071B54" w:rsidRDefault="00DB1A2F" w:rsidP="009C03ED">
      <w:hyperlink r:id="rId9" w:history="1">
        <w:r w:rsidR="009C03ED" w:rsidRPr="0017060A">
          <w:rPr>
            <w:rStyle w:val="a3"/>
            <w:rFonts w:ascii="Songti SC" w:eastAsia="Songti SC" w:hAnsi="Times" w:cs="Songti SC"/>
            <w:kern w:val="0"/>
          </w:rPr>
          <w:t>https://mp.weixin.qq.com/s/49Lc7Y2iPnlNKJxbTrN9yg</w:t>
        </w:r>
      </w:hyperlink>
    </w:p>
    <w:p w:rsidR="003B29D5" w:rsidRDefault="003B29D5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Default="00D534A2" w:rsidP="00773C1D">
      <w:pPr>
        <w:widowControl/>
        <w:jc w:val="left"/>
        <w:rPr>
          <w:rFonts w:ascii="黑体" w:eastAsia="黑体" w:hAnsi="黑体"/>
          <w:b/>
          <w:sz w:val="10"/>
          <w:szCs w:val="10"/>
        </w:rPr>
      </w:pPr>
    </w:p>
    <w:p w:rsidR="00D534A2" w:rsidRPr="00D534A2" w:rsidRDefault="00D534A2" w:rsidP="00D534A2">
      <w:bookmarkStart w:id="1" w:name="_GoBack"/>
      <w:bookmarkEnd w:id="1"/>
    </w:p>
    <w:sectPr w:rsidR="00D534A2" w:rsidRPr="00D534A2" w:rsidSect="007D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BE" w:rsidRDefault="00754EBE" w:rsidP="002F7592">
      <w:r>
        <w:separator/>
      </w:r>
    </w:p>
  </w:endnote>
  <w:endnote w:type="continuationSeparator" w:id="1">
    <w:p w:rsidR="00754EBE" w:rsidRDefault="00754EBE" w:rsidP="002F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ingFang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BE" w:rsidRDefault="00754EBE" w:rsidP="002F7592">
      <w:r>
        <w:separator/>
      </w:r>
    </w:p>
  </w:footnote>
  <w:footnote w:type="continuationSeparator" w:id="1">
    <w:p w:rsidR="00754EBE" w:rsidRDefault="00754EBE" w:rsidP="002F7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D01"/>
    <w:multiLevelType w:val="hybridMultilevel"/>
    <w:tmpl w:val="64F0C1C0"/>
    <w:lvl w:ilvl="0" w:tplc="04090013">
      <w:start w:val="1"/>
      <w:numFmt w:val="chineseCountingThousand"/>
      <w:lvlText w:val="%1、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CB57AC5"/>
    <w:multiLevelType w:val="hybridMultilevel"/>
    <w:tmpl w:val="447E2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375"/>
    <w:rsid w:val="00047EC3"/>
    <w:rsid w:val="00076293"/>
    <w:rsid w:val="00087617"/>
    <w:rsid w:val="000C3ECD"/>
    <w:rsid w:val="000D38B2"/>
    <w:rsid w:val="00157ED8"/>
    <w:rsid w:val="00284F7B"/>
    <w:rsid w:val="002F7592"/>
    <w:rsid w:val="003002AD"/>
    <w:rsid w:val="00330E1B"/>
    <w:rsid w:val="00386A14"/>
    <w:rsid w:val="00392F6D"/>
    <w:rsid w:val="003B29D5"/>
    <w:rsid w:val="003C793C"/>
    <w:rsid w:val="003E25EF"/>
    <w:rsid w:val="00416EBF"/>
    <w:rsid w:val="004538F4"/>
    <w:rsid w:val="00496DF4"/>
    <w:rsid w:val="004E2F3C"/>
    <w:rsid w:val="005063BE"/>
    <w:rsid w:val="005352BE"/>
    <w:rsid w:val="00543272"/>
    <w:rsid w:val="005445F7"/>
    <w:rsid w:val="00600637"/>
    <w:rsid w:val="006D5105"/>
    <w:rsid w:val="00721C22"/>
    <w:rsid w:val="0075387A"/>
    <w:rsid w:val="00754EBE"/>
    <w:rsid w:val="00773C1D"/>
    <w:rsid w:val="007C1636"/>
    <w:rsid w:val="007D7ADA"/>
    <w:rsid w:val="0080079E"/>
    <w:rsid w:val="00877E8D"/>
    <w:rsid w:val="008A1F5C"/>
    <w:rsid w:val="008C0D90"/>
    <w:rsid w:val="008E16AF"/>
    <w:rsid w:val="008F2A5B"/>
    <w:rsid w:val="009C03ED"/>
    <w:rsid w:val="00A53350"/>
    <w:rsid w:val="00A57902"/>
    <w:rsid w:val="00AB08C1"/>
    <w:rsid w:val="00AB43E7"/>
    <w:rsid w:val="00AE2EA2"/>
    <w:rsid w:val="00AE53A9"/>
    <w:rsid w:val="00B122B1"/>
    <w:rsid w:val="00B75589"/>
    <w:rsid w:val="00B84375"/>
    <w:rsid w:val="00BA2485"/>
    <w:rsid w:val="00BB6088"/>
    <w:rsid w:val="00BF709A"/>
    <w:rsid w:val="00C32486"/>
    <w:rsid w:val="00C60385"/>
    <w:rsid w:val="00C914B5"/>
    <w:rsid w:val="00CE1388"/>
    <w:rsid w:val="00D137A0"/>
    <w:rsid w:val="00D534A2"/>
    <w:rsid w:val="00D747EF"/>
    <w:rsid w:val="00DA64E3"/>
    <w:rsid w:val="00DB1A2F"/>
    <w:rsid w:val="00DD351D"/>
    <w:rsid w:val="00E03DC8"/>
    <w:rsid w:val="00E560C3"/>
    <w:rsid w:val="00E653A5"/>
    <w:rsid w:val="00E80391"/>
    <w:rsid w:val="00EA0214"/>
    <w:rsid w:val="00EA5FC7"/>
    <w:rsid w:val="00EB2388"/>
    <w:rsid w:val="00F44562"/>
    <w:rsid w:val="00F6185E"/>
    <w:rsid w:val="00F775E1"/>
    <w:rsid w:val="00FB65B7"/>
    <w:rsid w:val="00FC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75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link w:val="PlainTextChar"/>
    <w:rsid w:val="00B84375"/>
    <w:rPr>
      <w:rFonts w:ascii="宋体" w:hAnsi="Courier New"/>
    </w:rPr>
  </w:style>
  <w:style w:type="character" w:customStyle="1" w:styleId="PlainTextChar">
    <w:name w:val="Plain Text Char"/>
    <w:link w:val="1"/>
    <w:rsid w:val="00B84375"/>
    <w:rPr>
      <w:rFonts w:ascii="宋体" w:eastAsia="宋体" w:hAnsi="Courier New" w:cs="Times New Roman"/>
      <w:szCs w:val="20"/>
    </w:rPr>
  </w:style>
  <w:style w:type="paragraph" w:customStyle="1" w:styleId="2">
    <w:name w:val="纯文本2"/>
    <w:basedOn w:val="a"/>
    <w:rsid w:val="00FC087C"/>
    <w:pPr>
      <w:textAlignment w:val="auto"/>
    </w:pPr>
    <w:rPr>
      <w:rFonts w:ascii="宋体" w:hAnsi="Courier New"/>
    </w:rPr>
  </w:style>
  <w:style w:type="character" w:styleId="a3">
    <w:name w:val="Hyperlink"/>
    <w:basedOn w:val="a0"/>
    <w:uiPriority w:val="99"/>
    <w:unhideWhenUsed/>
    <w:qFormat/>
    <w:rsid w:val="00DA64E3"/>
    <w:rPr>
      <w:rFonts w:ascii="Times New Roman" w:eastAsia="宋体" w:hAnsi="Times New Roman" w:cs="Times New Roman" w:hint="default"/>
      <w:color w:val="0000FF" w:themeColor="hyperlink"/>
      <w:u w:val="single"/>
    </w:rPr>
  </w:style>
  <w:style w:type="paragraph" w:styleId="a4">
    <w:name w:val="Normal (Web)"/>
    <w:basedOn w:val="a"/>
    <w:rsid w:val="00157ED8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157ED8"/>
    <w:rPr>
      <w:rFonts w:ascii="Times New Roman" w:eastAsia="宋体" w:hAnsi="Times New Roman" w:cs="Times New Roman"/>
      <w:b/>
      <w:bCs/>
    </w:rPr>
  </w:style>
  <w:style w:type="paragraph" w:styleId="a6">
    <w:name w:val="header"/>
    <w:basedOn w:val="a"/>
    <w:link w:val="Char"/>
    <w:uiPriority w:val="99"/>
    <w:unhideWhenUsed/>
    <w:rsid w:val="002F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F759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F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F759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link w:val="a8"/>
    <w:uiPriority w:val="99"/>
    <w:rsid w:val="00B75589"/>
    <w:rPr>
      <w:rFonts w:ascii="Calibri" w:eastAsia="宋体" w:hAnsi="Calibri" w:cs="Times New Roman"/>
      <w:sz w:val="18"/>
      <w:szCs w:val="18"/>
      <w:lang w:val="zh-CN"/>
    </w:rPr>
  </w:style>
  <w:style w:type="character" w:styleId="a9">
    <w:name w:val="footnote reference"/>
    <w:uiPriority w:val="99"/>
    <w:unhideWhenUsed/>
    <w:qFormat/>
    <w:rsid w:val="00B75589"/>
    <w:rPr>
      <w:vertAlign w:val="superscript"/>
    </w:rPr>
  </w:style>
  <w:style w:type="paragraph" w:styleId="a8">
    <w:name w:val="footnote text"/>
    <w:basedOn w:val="a"/>
    <w:link w:val="Char1"/>
    <w:uiPriority w:val="99"/>
    <w:unhideWhenUsed/>
    <w:rsid w:val="00B75589"/>
    <w:pPr>
      <w:adjustRightInd/>
      <w:snapToGrid w:val="0"/>
      <w:jc w:val="left"/>
      <w:textAlignment w:val="auto"/>
    </w:pPr>
    <w:rPr>
      <w:rFonts w:ascii="Calibri" w:hAnsi="Calibri"/>
      <w:sz w:val="18"/>
      <w:szCs w:val="18"/>
      <w:lang w:val="zh-CN"/>
    </w:rPr>
  </w:style>
  <w:style w:type="character" w:customStyle="1" w:styleId="Char10">
    <w:name w:val="脚注文本 Char1"/>
    <w:basedOn w:val="a0"/>
    <w:uiPriority w:val="99"/>
    <w:semiHidden/>
    <w:rsid w:val="00B7558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53350"/>
    <w:pPr>
      <w:ind w:firstLineChars="200" w:firstLine="420"/>
    </w:pPr>
  </w:style>
  <w:style w:type="paragraph" w:styleId="ab">
    <w:name w:val="Revision"/>
    <w:hidden/>
    <w:uiPriority w:val="99"/>
    <w:semiHidden/>
    <w:rsid w:val="00CE1388"/>
    <w:rPr>
      <w:rFonts w:ascii="Times New Roman" w:eastAsia="宋体" w:hAnsi="Times New Roman" w:cs="Times New Roman"/>
      <w:szCs w:val="20"/>
    </w:rPr>
  </w:style>
  <w:style w:type="paragraph" w:styleId="ac">
    <w:name w:val="Balloon Text"/>
    <w:basedOn w:val="a"/>
    <w:link w:val="Char2"/>
    <w:uiPriority w:val="99"/>
    <w:semiHidden/>
    <w:unhideWhenUsed/>
    <w:rsid w:val="00CE1388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CE13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.weixin.qq.com/s/49Lc7Y2iPnlNKJxbTrN9y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2D29-5AE6-43A1-8A23-63ED592A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cp:lastPrinted>2019-04-19T04:38:00Z</cp:lastPrinted>
  <dcterms:created xsi:type="dcterms:W3CDTF">2019-04-23T03:23:00Z</dcterms:created>
  <dcterms:modified xsi:type="dcterms:W3CDTF">2019-04-26T08:20:00Z</dcterms:modified>
</cp:coreProperties>
</file>